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Segoe UI" w:hAnsi="Segoe UI" w:cs="Segoe UI"/>
          <w:color w:val="000000"/>
          <w:sz w:val="22"/>
          <w:shd w:val="clear" w:color="auto" w:fill="ffffff"/>
        </w:rPr>
      </w:pPr>
      <w:r>
        <w:rPr>
          <w:rFonts w:ascii="Segoe UI" w:hAnsi="Segoe UI" w:cs="Segoe UI"/>
          <w:color w:val="000000"/>
          <w:sz w:val="22"/>
          <w:shd w:val="clear" w:color="auto" w:fill="ffffff"/>
        </w:rPr>
      </w:r>
      <w:r>
        <w:rPr>
          <w:rFonts w:ascii="Segoe UI" w:hAnsi="Segoe UI" w:cs="Segoe UI"/>
          <w:color w:val="000000"/>
          <w:sz w:val="22"/>
          <w:shd w:val="clear" w:color="auto" w:fill="ffffff"/>
        </w:rPr>
      </w:r>
      <w:r>
        <w:rPr>
          <w:rFonts w:ascii="Segoe UI" w:hAnsi="Segoe UI" w:cs="Segoe UI"/>
          <w:color w:val="000000"/>
          <w:sz w:val="22"/>
          <w:shd w:val="clear" w:color="auto" w:fill="ffffff"/>
        </w:rPr>
      </w:r>
    </w:p>
    <w:p>
      <w:pPr>
        <w:pBdr/>
        <w:spacing/>
        <w:ind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</w:r>
      <w:r>
        <w:rPr>
          <w:rFonts w:cs="Times New Roman"/>
          <w:b/>
          <w:bCs/>
          <w:sz w:val="22"/>
        </w:rPr>
      </w:r>
      <w:r>
        <w:rPr>
          <w:rFonts w:cs="Times New Roman"/>
          <w:b/>
          <w:bCs/>
          <w:sz w:val="22"/>
        </w:rPr>
      </w:r>
    </w:p>
    <w:p>
      <w:pPr>
        <w:pBdr/>
        <w:spacing/>
        <w:ind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ПРОГРАММА</w:t>
      </w:r>
      <w:r>
        <w:rPr>
          <w:rFonts w:cs="Times New Roman"/>
          <w:b/>
          <w:bCs/>
          <w:sz w:val="22"/>
        </w:rPr>
      </w:r>
      <w:r>
        <w:rPr>
          <w:rFonts w:cs="Times New Roman"/>
          <w:b/>
          <w:bCs/>
          <w:sz w:val="22"/>
        </w:rPr>
      </w:r>
    </w:p>
    <w:p>
      <w:pPr>
        <w:pBdr/>
        <w:spacing/>
        <w:ind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caps/>
          <w:sz w:val="24"/>
          <w:szCs w:val="24"/>
          <w:lang w:val="en-US"/>
        </w:rPr>
        <w:t xml:space="preserve">I</w:t>
      </w:r>
      <w:r>
        <w:rPr>
          <w:rFonts w:cs="Times New Roman"/>
          <w:b/>
          <w:caps/>
          <w:sz w:val="24"/>
          <w:szCs w:val="24"/>
          <w:lang w:val="en-US"/>
        </w:rPr>
        <w:t xml:space="preserve">V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Межрегионального форума</w: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«</w:t>
      </w:r>
      <w:r>
        <w:rPr>
          <w:rFonts w:cs="Times New Roman"/>
          <w:b/>
          <w:bCs/>
          <w:sz w:val="24"/>
          <w:szCs w:val="24"/>
        </w:rPr>
        <w:t xml:space="preserve">Организация производства работ на высоте: подбор </w:t>
      </w:r>
      <w:r>
        <w:rPr>
          <w:rFonts w:cs="Times New Roman"/>
          <w:b/>
          <w:bCs/>
          <w:sz w:val="24"/>
          <w:szCs w:val="24"/>
        </w:rPr>
        <w:t xml:space="preserve">компонентов систем безопасности</w:t>
      </w:r>
      <w:r>
        <w:rPr>
          <w:rFonts w:cs="Times New Roman"/>
          <w:b/>
          <w:bCs/>
          <w:sz w:val="24"/>
          <w:szCs w:val="24"/>
        </w:rPr>
        <w:t xml:space="preserve">»</w: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</w:r>
    </w:p>
    <w:p>
      <w:pPr>
        <w:pBdr/>
        <w:spacing/>
        <w:ind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pBdr/>
        <w:spacing/>
        <w:ind w:left="-284"/>
        <w:jc w:val="both"/>
        <w:rPr>
          <w:rFonts w:cs="Times New Roman"/>
          <w:sz w:val="22"/>
        </w:rPr>
      </w:pPr>
      <w:r>
        <w:rPr>
          <w:rFonts w:cs="Times New Roman"/>
          <w:bCs/>
          <w:sz w:val="22"/>
        </w:rPr>
        <w:t xml:space="preserve">Дата: </w:t>
      </w:r>
      <w:r>
        <w:rPr>
          <w:rFonts w:cs="Times New Roman"/>
          <w:bCs/>
          <w:sz w:val="22"/>
        </w:rPr>
        <w:t xml:space="preserve">20</w:t>
      </w: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октября</w:t>
      </w:r>
      <w:r>
        <w:rPr>
          <w:rFonts w:cs="Times New Roman"/>
          <w:sz w:val="22"/>
        </w:rPr>
        <w:t xml:space="preserve"> 202</w:t>
      </w:r>
      <w:r>
        <w:rPr>
          <w:rFonts w:cs="Times New Roman"/>
          <w:sz w:val="22"/>
        </w:rPr>
        <w:t xml:space="preserve">5</w:t>
      </w:r>
      <w:r>
        <w:rPr>
          <w:rFonts w:cs="Times New Roman"/>
          <w:sz w:val="22"/>
        </w:rPr>
        <w:t xml:space="preserve"> года.</w:t>
      </w: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pBdr/>
        <w:spacing/>
        <w:ind w:left="-284"/>
        <w:jc w:val="both"/>
        <w:rPr>
          <w:rFonts w:cs="Times New Roman"/>
          <w:sz w:val="22"/>
        </w:rPr>
      </w:pPr>
      <w:r>
        <w:rPr>
          <w:rFonts w:cs="Times New Roman"/>
          <w:bCs/>
          <w:sz w:val="22"/>
        </w:rPr>
        <w:t xml:space="preserve">Время:</w:t>
      </w:r>
      <w:r>
        <w:rPr>
          <w:rFonts w:cs="Times New Roman"/>
          <w:sz w:val="22"/>
        </w:rPr>
        <w:t xml:space="preserve"> 1</w:t>
      </w:r>
      <w:r>
        <w:rPr>
          <w:rFonts w:cs="Times New Roman"/>
          <w:sz w:val="22"/>
        </w:rPr>
        <w:t xml:space="preserve">1</w:t>
      </w:r>
      <w:r>
        <w:rPr>
          <w:rFonts w:cs="Times New Roman"/>
          <w:sz w:val="22"/>
        </w:rPr>
        <w:t xml:space="preserve"> час. 00 мин. </w:t>
      </w: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pBdr/>
        <w:spacing/>
        <w:ind w:left="-284"/>
        <w:jc w:val="both"/>
        <w:rPr>
          <w:rFonts w:cs="Times New Roman"/>
          <w:sz w:val="22"/>
        </w:rPr>
      </w:pPr>
      <w:r>
        <w:rPr>
          <w:rFonts w:cs="Times New Roman"/>
          <w:bCs/>
          <w:sz w:val="22"/>
        </w:rPr>
        <w:t xml:space="preserve">Место:</w:t>
      </w: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МАУК</w:t>
      </w:r>
      <w:r>
        <w:rPr>
          <w:rFonts w:cs="Times New Roman"/>
          <w:sz w:val="22"/>
        </w:rPr>
        <w:t xml:space="preserve"> «Городской молодёжный центр» г. Липецк, ул. Гагарина, д. 35А</w:t>
      </w: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pBdr/>
        <w:spacing/>
        <w:ind w:left="-284"/>
        <w:rPr>
          <w:rFonts w:cs="Times New Roman"/>
          <w:color w:val="000000"/>
          <w:sz w:val="22"/>
          <w:shd w:val="clear" w:color="auto" w:fill="ffffff"/>
        </w:rPr>
      </w:pPr>
      <w:r>
        <w:rPr>
          <w:rFonts w:cs="Times New Roman"/>
          <w:sz w:val="22"/>
        </w:rPr>
        <w:t xml:space="preserve"> </w:t>
      </w:r>
      <w:r>
        <w:rPr>
          <w:rFonts w:cs="Times New Roman"/>
          <w:color w:val="000000"/>
          <w:sz w:val="22"/>
          <w:shd w:val="clear" w:color="auto" w:fill="ffffff"/>
        </w:rPr>
      </w:r>
      <w:r>
        <w:rPr>
          <w:rFonts w:cs="Times New Roman"/>
          <w:color w:val="000000"/>
          <w:sz w:val="22"/>
          <w:shd w:val="clear" w:color="auto" w:fill="ffffff"/>
        </w:rPr>
      </w:r>
    </w:p>
    <w:tbl>
      <w:tblPr>
        <w:tblStyle w:val="899"/>
        <w:tblInd w:w="-601" w:type="dxa"/>
        <w:tblW w:w="97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0"/>
        <w:gridCol w:w="3760"/>
        <w:gridCol w:w="4962"/>
      </w:tblGrid>
      <w:tr>
        <w:trPr>
          <w:trHeight w:val="1249"/>
        </w:trPr>
        <w:tc>
          <w:tcPr>
            <w:shd w:val="clear" w:color="auto" w:fill="fde9d9" w:themeFill="accent6" w:themeFillTint="33"/>
            <w:tcBorders/>
            <w:tcW w:w="1060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:30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</w:r>
          </w:p>
          <w:p>
            <w:pPr>
              <w:widowControl w:val="false"/>
              <w:pBdr/>
              <w:spacing/>
              <w:ind w:left="-108"/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</w:r>
          </w:p>
        </w:tc>
        <w:tc>
          <w:tcPr>
            <w:gridSpan w:val="2"/>
            <w:tcBorders/>
            <w:tcW w:w="872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lang w:eastAsia="ru-RU"/>
              </w:rPr>
              <w:t xml:space="preserve">Регистрация участников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77"/>
        </w:trPr>
        <w:tc>
          <w:tcPr>
            <w:shd w:val="clear" w:color="auto" w:fill="fde9d9" w:themeFill="accent6" w:themeFillTint="33"/>
            <w:tcBorders/>
            <w:tcW w:w="1060" w:type="dxa"/>
            <w:textDirection w:val="lrTb"/>
            <w:noWrap w:val="false"/>
          </w:tcPr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</w:t>
            </w:r>
            <w:r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Приветственное слово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/>
            <w:tcW w:w="49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Походаева Елена Ивановна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заместитель министра социальной политики Липецкой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  <w:t xml:space="preserve">Кирейчикова Ирина Николаевна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уководитель Государственной инспекции труда - главный государственный инспектор труда в Липецкой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>
          <w:trHeight w:val="1179"/>
        </w:trPr>
        <w:tc>
          <w:tcPr>
            <w:shd w:val="clear" w:color="ffffff" w:fill="fde9d9" w:themeFill="accent6" w:themeFillTint="33"/>
            <w:tcBorders/>
            <w:tcW w:w="1060" w:type="dxa"/>
            <w:vMerge w:val="restart"/>
            <w:textDirection w:val="lrTb"/>
            <w:noWrap w:val="false"/>
          </w:tcPr>
          <w:p>
            <w:pPr>
              <w:pBdr/>
              <w:spacing/>
              <w:ind w:left="34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11:</w:t>
            </w:r>
            <w:r>
              <w:rPr>
                <w:rFonts w:ascii="Times New Roman" w:hAnsi="Times New Roman" w:cs="Times New Roman"/>
              </w:rPr>
              <w:t xml:space="preserve">05 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cs="Times New Roman"/>
              </w:rPr>
            </w:r>
          </w:p>
        </w:tc>
        <w:tc>
          <w:tcPr>
            <w:tcBorders/>
            <w:tcW w:w="376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Анализ и меры по снижению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уровня производственного травматизма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</w:p>
        </w:tc>
        <w:tc>
          <w:tcPr>
            <w:tcBorders/>
            <w:tcW w:w="49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Походаева Елена Ивановна</w:t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заместитель министра социальной политики Липецкой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</w:tc>
      </w:tr>
      <w:tr>
        <w:trPr>
          <w:trHeight w:val="1285"/>
        </w:trPr>
        <w:tc>
          <w:tcPr>
            <w:shd w:val="clear" w:color="auto" w:fill="fde9d9" w:themeFill="accent6" w:themeFillTint="33"/>
            <w:tcBorders/>
            <w:tcW w:w="1060" w:type="dxa"/>
            <w:textDirection w:val="lrTb"/>
            <w:noWrap w:val="false"/>
          </w:tcPr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Применение СИЗ для предотвращения несчастных случаев на производстве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Глушков Павел Сергеевич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оммерческий директор ООО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Техноавиа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-Липецк»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</w:tr>
      <w:tr>
        <w:trPr>
          <w:trHeight w:val="1289"/>
        </w:trPr>
        <w:tc>
          <w:tcPr>
            <w:shd w:val="clear" w:color="auto" w:fill="fde9d9" w:themeFill="accent6" w:themeFillTint="33"/>
            <w:tcBorders/>
            <w:tcW w:w="1060" w:type="dxa"/>
            <w:textDirection w:val="lrTb"/>
            <w:noWrap w:val="false"/>
          </w:tcPr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«Организация производства работ на высоте: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Подбор компонентов систем безопасности»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Ворохова Надежда Викторовна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специалист по продвижению систем безопасности при работе на высоте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Техноавиа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Липецк»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</w:tr>
      <w:tr>
        <w:trPr>
          <w:trHeight w:val="858"/>
        </w:trPr>
        <w:tc>
          <w:tcPr>
            <w:shd w:val="clear" w:color="auto" w:fill="fde9d9" w:themeFill="accent6" w:themeFillTint="33"/>
            <w:tcBorders/>
            <w:tcW w:w="1060" w:type="dxa"/>
            <w:textDirection w:val="lrTb"/>
            <w:noWrap w:val="false"/>
          </w:tcPr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Комплексное обеспечение СИЗ. Автоматизация процессов выдачи СИЗ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Армашова Виолетта Михайловна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специалист по аутсорсингу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Техноавиа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Липецк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</w:tr>
      <w:tr>
        <w:trPr/>
        <w:tc>
          <w:tcPr>
            <w:shd w:val="clear" w:color="auto" w:fill="fde9d9" w:themeFill="accent6" w:themeFillTint="33"/>
            <w:tcBorders/>
            <w:tcW w:w="1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11:45 12: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/>
            <w:tcW w:w="37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сессия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Решение практических кейсов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работа в группах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69"/>
        </w:trPr>
        <w:tc>
          <w:tcPr>
            <w:shd w:val="clear" w:color="auto" w:fill="fde9d9" w:themeFill="accent6" w:themeFillTint="33"/>
            <w:tcBorders/>
            <w:tcW w:w="10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7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Кофе-брейк.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Деловое общение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9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/>
        <w:ind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notePr/>
      <w:endnotePr/>
      <w:type w:val="nextPage"/>
      <w:pgSz w:h="16838" w:orient="portrait" w:w="11906"/>
      <w:pgMar w:top="426" w:right="850" w:bottom="142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721A9"/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</w:rPr>
      <w:start w:val="1"/>
      <w:suff w:val="tab"/>
    </w:lvl>
  </w:abstractNum>
  <w:abstractNum w:abstractNumId="1">
    <w:nsid w:val="249F3197"/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nsid w:val="382C25D3"/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</w:rPr>
      <w:start w:val="1"/>
      <w:suff w:val="tab"/>
    </w:lvl>
  </w:abstractNum>
  <w:abstractNum w:abstractNumId="3">
    <w:nsid w:val="38525070"/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</w:rPr>
      <w:start w:val="1"/>
      <w:suff w:val="tab"/>
    </w:lvl>
  </w:abstractNum>
  <w:abstractNum w:abstractNumId="4">
    <w:nsid w:val="68430FDF"/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</w:rPr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1">
    <w:name w:val="Table Grid Light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89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8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8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8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95"/>
    <w:next w:val="895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95"/>
    <w:next w:val="895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95"/>
    <w:next w:val="895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95"/>
    <w:next w:val="895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95"/>
    <w:next w:val="895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95"/>
    <w:next w:val="895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95"/>
    <w:next w:val="895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95"/>
    <w:next w:val="895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95"/>
    <w:next w:val="895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1 Char"/>
    <w:basedOn w:val="896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96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96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96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96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96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96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96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96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95"/>
    <w:next w:val="895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96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95"/>
    <w:next w:val="895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96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95"/>
    <w:next w:val="895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96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Intense Emphasis"/>
    <w:basedOn w:val="8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1">
    <w:name w:val="Intense Quote"/>
    <w:basedOn w:val="895"/>
    <w:next w:val="895"/>
    <w:link w:val="86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2">
    <w:name w:val="Intense Quote Char"/>
    <w:basedOn w:val="896"/>
    <w:link w:val="86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3">
    <w:name w:val="Intense Reference"/>
    <w:basedOn w:val="8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65">
    <w:name w:val="Subtle Emphasis"/>
    <w:basedOn w:val="8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6">
    <w:name w:val="Emphasis"/>
    <w:basedOn w:val="896"/>
    <w:uiPriority w:val="20"/>
    <w:qFormat/>
    <w:pPr>
      <w:pBdr/>
      <w:spacing/>
      <w:ind/>
    </w:pPr>
    <w:rPr>
      <w:i/>
      <w:iCs/>
    </w:rPr>
  </w:style>
  <w:style w:type="character" w:styleId="867">
    <w:name w:val="Strong"/>
    <w:basedOn w:val="896"/>
    <w:uiPriority w:val="22"/>
    <w:qFormat/>
    <w:pPr>
      <w:pBdr/>
      <w:spacing/>
      <w:ind/>
    </w:pPr>
    <w:rPr>
      <w:b/>
      <w:bCs/>
    </w:rPr>
  </w:style>
  <w:style w:type="character" w:styleId="868">
    <w:name w:val="Subtle Reference"/>
    <w:basedOn w:val="8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9">
    <w:name w:val="Book Title"/>
    <w:basedOn w:val="89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0">
    <w:name w:val="Header"/>
    <w:basedOn w:val="895"/>
    <w:link w:val="87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1">
    <w:name w:val="Header Char"/>
    <w:basedOn w:val="896"/>
    <w:link w:val="870"/>
    <w:uiPriority w:val="99"/>
    <w:pPr>
      <w:pBdr/>
      <w:spacing/>
      <w:ind/>
    </w:pPr>
  </w:style>
  <w:style w:type="paragraph" w:styleId="872">
    <w:name w:val="Footer"/>
    <w:basedOn w:val="895"/>
    <w:link w:val="87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3">
    <w:name w:val="Footer Char"/>
    <w:basedOn w:val="896"/>
    <w:link w:val="872"/>
    <w:uiPriority w:val="99"/>
    <w:pPr>
      <w:pBdr/>
      <w:spacing/>
      <w:ind/>
    </w:pPr>
  </w:style>
  <w:style w:type="paragraph" w:styleId="87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5">
    <w:name w:val="footnote text"/>
    <w:basedOn w:val="895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Footnote Text Char"/>
    <w:basedOn w:val="896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foot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paragraph" w:styleId="878">
    <w:name w:val="endnote text"/>
    <w:basedOn w:val="895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Endnote Text Char"/>
    <w:basedOn w:val="896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endnote reference"/>
    <w:basedOn w:val="896"/>
    <w:uiPriority w:val="99"/>
    <w:semiHidden/>
    <w:unhideWhenUsed/>
    <w:pPr>
      <w:pBdr/>
      <w:spacing/>
      <w:ind/>
    </w:pPr>
    <w:rPr>
      <w:vertAlign w:val="superscript"/>
    </w:rPr>
  </w:style>
  <w:style w:type="character" w:styleId="881">
    <w:name w:val="Hyperlink"/>
    <w:basedOn w:val="89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2">
    <w:name w:val="FollowedHyperlink"/>
    <w:basedOn w:val="8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3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884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885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886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887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888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889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890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891">
    <w:name w:val="toc 9"/>
    <w:basedOn w:val="895"/>
    <w:next w:val="895"/>
    <w:uiPriority w:val="39"/>
    <w:unhideWhenUsed/>
    <w:pPr>
      <w:pBdr/>
      <w:spacing w:after="100"/>
      <w:ind w:left="1760"/>
    </w:pPr>
  </w:style>
  <w:style w:type="character" w:styleId="892">
    <w:name w:val="Placeholder Text"/>
    <w:basedOn w:val="896"/>
    <w:uiPriority w:val="99"/>
    <w:semiHidden/>
    <w:pPr>
      <w:pBdr/>
      <w:spacing/>
      <w:ind/>
    </w:pPr>
    <w:rPr>
      <w:color w:val="666666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qFormat/>
    <w:pPr>
      <w:pBdr/>
      <w:spacing/>
      <w:ind/>
    </w:pPr>
  </w:style>
  <w:style w:type="character" w:styleId="896" w:default="1">
    <w:name w:val="Default Paragraph Font"/>
    <w:uiPriority w:val="1"/>
    <w:semiHidden/>
    <w:unhideWhenUsed/>
    <w:pPr>
      <w:pBdr/>
      <w:spacing/>
      <w:ind/>
    </w:pPr>
  </w:style>
  <w:style w:type="table" w:styleId="89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table" w:styleId="899">
    <w:name w:val="Table Grid"/>
    <w:basedOn w:val="897"/>
    <w:uiPriority w:val="39"/>
    <w:pPr>
      <w:pBdr/>
      <w:spacing/>
      <w:ind/>
    </w:pPr>
    <w:rPr>
      <w:rFonts w:asciiTheme="minorHAns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List Paragraph"/>
    <w:basedOn w:val="895"/>
    <w:uiPriority w:val="34"/>
    <w:qFormat/>
    <w:pPr>
      <w:pBdr/>
      <w:spacing/>
      <w:ind w:left="720"/>
      <w:contextualSpacing w:val="true"/>
    </w:pPr>
  </w:style>
  <w:style w:type="paragraph" w:styleId="901">
    <w:name w:val="Balloon Text"/>
    <w:basedOn w:val="895"/>
    <w:link w:val="902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basedOn w:val="896"/>
    <w:link w:val="90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3" w:customStyle="1">
    <w:name w:val="Сетка таблицы1"/>
    <w:basedOn w:val="897"/>
    <w:next w:val="899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4">
    <w:name w:val="HTML Preformatted"/>
    <w:basedOn w:val="895"/>
    <w:link w:val="905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5" w:customStyle="1">
    <w:name w:val="Стандартный HTML Знак"/>
    <w:basedOn w:val="896"/>
    <w:link w:val="904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*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Елена Николаевна</dc:creator>
  <cp:revision>6</cp:revision>
  <dcterms:created xsi:type="dcterms:W3CDTF">2025-10-07T12:09:00Z</dcterms:created>
  <dcterms:modified xsi:type="dcterms:W3CDTF">2025-10-09T05:54:26Z</dcterms:modified>
</cp:coreProperties>
</file>